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DA" w:rsidRDefault="00553A2F" w:rsidP="00553A2F">
      <w:pPr>
        <w:spacing w:after="0" w:line="240" w:lineRule="auto"/>
        <w:ind w:left="-142"/>
        <w:rPr>
          <w:rFonts w:ascii="Arial" w:hAnsi="Arial" w:cs="Arial"/>
          <w:i/>
          <w:sz w:val="20"/>
          <w:szCs w:val="20"/>
        </w:rPr>
      </w:pPr>
      <w:r w:rsidRPr="00553A2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="00D33A5A" w:rsidRPr="00CB21EC">
        <w:rPr>
          <w:rFonts w:ascii="Arial" w:hAnsi="Arial" w:cs="Arial"/>
          <w:sz w:val="20"/>
          <w:szCs w:val="20"/>
        </w:rPr>
        <w:t xml:space="preserve">THIS SECTION TO BE COMPLETED BY ALL APPLICANTS </w:t>
      </w:r>
      <w:r w:rsidR="00D33A5A" w:rsidRPr="00CB21EC">
        <w:rPr>
          <w:rFonts w:ascii="Arial" w:hAnsi="Arial" w:cs="Arial"/>
          <w:b/>
          <w:sz w:val="20"/>
          <w:szCs w:val="20"/>
          <w:u w:val="single"/>
        </w:rPr>
        <w:t>UNLESS</w:t>
      </w:r>
      <w:r w:rsidR="00D33A5A" w:rsidRPr="00CB21EC">
        <w:rPr>
          <w:rFonts w:ascii="Arial" w:hAnsi="Arial" w:cs="Arial"/>
          <w:sz w:val="20"/>
          <w:szCs w:val="20"/>
        </w:rPr>
        <w:t xml:space="preserve"> AOC/OPERATIONS SPECIFICATIONS ARE ICAO ANNEX 6 APPENDIX 6 COMPLIANT.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D33A5A" w:rsidRPr="00CB21EC" w:rsidTr="00B94226">
        <w:trPr>
          <w:trHeight w:val="144"/>
        </w:trPr>
        <w:tc>
          <w:tcPr>
            <w:tcW w:w="10314" w:type="dxa"/>
          </w:tcPr>
          <w:p w:rsidR="00D33A5A" w:rsidRPr="00CB21EC" w:rsidRDefault="00D33A5A" w:rsidP="005A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B21E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OPERATIONS SPECIFICATIONS</w:t>
            </w:r>
          </w:p>
          <w:p w:rsidR="00D33A5A" w:rsidRPr="00CB21EC" w:rsidRDefault="00D33A5A" w:rsidP="005A4E11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21EC">
              <w:rPr>
                <w:rFonts w:ascii="Arial" w:hAnsi="Arial" w:cs="Arial"/>
                <w:i/>
                <w:sz w:val="20"/>
                <w:szCs w:val="20"/>
              </w:rPr>
              <w:t>(subject to the approved conditions in the operations manual)</w:t>
            </w:r>
          </w:p>
        </w:tc>
      </w:tr>
      <w:tr w:rsidR="00D33A5A" w:rsidRPr="00CB21EC" w:rsidTr="00B94226">
        <w:trPr>
          <w:trHeight w:val="935"/>
        </w:trPr>
        <w:tc>
          <w:tcPr>
            <w:tcW w:w="10314" w:type="dxa"/>
          </w:tcPr>
          <w:p w:rsidR="00D33A5A" w:rsidRPr="00CB21EC" w:rsidRDefault="00D33A5A" w:rsidP="005A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B21E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ISSUING AUTH</w:t>
            </w:r>
            <w:r w:rsidR="00956D85" w:rsidRPr="00CB21E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ORITY CONTACT DETAILS</w:t>
            </w:r>
            <w:r w:rsidR="00B052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(FOREIGN </w:t>
            </w:r>
            <w:r w:rsidR="00B702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STATE OF OPERATOR</w:t>
            </w:r>
            <w:r w:rsidR="00B052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  <w:p w:rsidR="00B70293" w:rsidRDefault="00B70293" w:rsidP="00B7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F088D" w:rsidRDefault="001F088D" w:rsidP="006D4A5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33A5A" w:rsidRPr="00CB21EC" w:rsidRDefault="00D33A5A" w:rsidP="006D4A5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B21EC">
              <w:rPr>
                <w:rFonts w:ascii="Arial" w:hAnsi="Arial" w:cs="Arial"/>
                <w:i/>
                <w:sz w:val="20"/>
                <w:szCs w:val="20"/>
              </w:rPr>
              <w:t>Telephone: ______________________ Fax: ______________________ E-mail: ________________</w:t>
            </w:r>
          </w:p>
        </w:tc>
      </w:tr>
      <w:tr w:rsidR="00F96574" w:rsidRPr="00CB21EC" w:rsidTr="00B94226">
        <w:trPr>
          <w:trHeight w:val="62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4" w:rsidRPr="00CB21EC" w:rsidRDefault="00F96574" w:rsidP="000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Aircraft </w:t>
            </w:r>
            <w:r w:rsidR="001144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Registration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Model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</w:tc>
      </w:tr>
      <w:tr w:rsidR="00F96574" w:rsidRPr="00CB21EC" w:rsidTr="00B94226">
        <w:trPr>
          <w:trHeight w:val="62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4" w:rsidRDefault="00F96574" w:rsidP="000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Type of Operation: Commercial Air Transport    </w:t>
            </w:r>
          </w:p>
          <w:p w:rsidR="00F96574" w:rsidRPr="00CB21EC" w:rsidRDefault="00E00F66" w:rsidP="000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en-GB"/>
              </w:rPr>
              <w:pict>
                <v:rect id="_x0000_s1028" style="position:absolute;margin-left:363.5pt;margin-top:2.5pt;width:10.4pt;height:7.15pt;z-index:3"/>
              </w:pic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en-GB"/>
              </w:rPr>
              <w:pict>
                <v:rect id="_x0000_s1027" style="position:absolute;margin-left:304.15pt;margin-top:2.5pt;width:10.4pt;height:7.15pt;z-index:2"/>
              </w:pic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en-GB"/>
              </w:rPr>
              <w:pict>
                <v:rect id="_x0000_s1026" style="position:absolute;margin-left:214.9pt;margin-top:2.5pt;width:10.4pt;height:7.15pt;z-index:1"/>
              </w:pict>
            </w:r>
            <w:r w:rsidR="00F96574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F96574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F96574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F96574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F96574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F96574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       Passengers           Cargo            Others: _____________</w:t>
            </w:r>
          </w:p>
        </w:tc>
      </w:tr>
      <w:tr w:rsidR="000C2633" w:rsidRPr="00CB21EC" w:rsidTr="00B94226">
        <w:trPr>
          <w:trHeight w:val="62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33" w:rsidRPr="00CB21EC" w:rsidRDefault="000C2633" w:rsidP="000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CB21EC">
              <w:rPr>
                <w:rFonts w:ascii="Arial" w:hAnsi="Arial" w:cs="Arial"/>
                <w:bCs/>
                <w:i/>
                <w:sz w:val="20"/>
                <w:szCs w:val="20"/>
              </w:rPr>
              <w:t>Area(s) of Operations:</w:t>
            </w:r>
            <w:r w:rsidR="00956D85" w:rsidRPr="00CB21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56D85" w:rsidRPr="00CB21EC">
              <w:rPr>
                <w:rFonts w:ascii="Arial" w:hAnsi="Arial" w:cs="Arial"/>
                <w:i/>
                <w:iCs/>
                <w:sz w:val="14"/>
                <w:szCs w:val="14"/>
              </w:rPr>
              <w:t>List the geographical area(s) of authorized operation (by geographical coordinates or specific routes, flight information region or national or regional boundaries)</w:t>
            </w:r>
          </w:p>
          <w:p w:rsidR="000C2633" w:rsidRPr="00CB21EC" w:rsidRDefault="000C2633" w:rsidP="000C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956D85" w:rsidRPr="00CB21EC" w:rsidRDefault="00956D85" w:rsidP="000C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33A5A" w:rsidRPr="00CB21EC" w:rsidTr="00B94226">
        <w:trPr>
          <w:trHeight w:val="288"/>
        </w:trPr>
        <w:tc>
          <w:tcPr>
            <w:tcW w:w="10314" w:type="dxa"/>
          </w:tcPr>
          <w:p w:rsidR="00D33A5A" w:rsidRPr="00CB21EC" w:rsidRDefault="00D33A5A" w:rsidP="005A4E1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1EC">
              <w:rPr>
                <w:rFonts w:ascii="Arial" w:hAnsi="Arial" w:cs="Arial"/>
                <w:i/>
                <w:sz w:val="20"/>
                <w:szCs w:val="20"/>
              </w:rPr>
              <w:t>Special Limitations (</w:t>
            </w:r>
            <w:r w:rsidRPr="00CB21EC">
              <w:rPr>
                <w:rFonts w:ascii="Arial" w:hAnsi="Arial" w:cs="Arial"/>
                <w:i/>
                <w:iCs/>
                <w:sz w:val="20"/>
                <w:szCs w:val="20"/>
              </w:rPr>
              <w:t>List the applicable special limitations (e.g. VFR only, day only).</w:t>
            </w:r>
          </w:p>
          <w:p w:rsidR="000C2633" w:rsidRPr="00CB21EC" w:rsidRDefault="000C2633" w:rsidP="005A4E1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C2633" w:rsidRPr="00CB21EC" w:rsidRDefault="000C2633" w:rsidP="005A4E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33A5A" w:rsidRPr="00CB21EC" w:rsidRDefault="00D33A5A" w:rsidP="00D33A5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605"/>
        <w:gridCol w:w="540"/>
        <w:gridCol w:w="2527"/>
        <w:gridCol w:w="4266"/>
      </w:tblGrid>
      <w:tr w:rsidR="002300BD" w:rsidRPr="00B66862" w:rsidTr="0067034E">
        <w:trPr>
          <w:trHeight w:val="432"/>
        </w:trPr>
        <w:tc>
          <w:tcPr>
            <w:tcW w:w="2383" w:type="dxa"/>
          </w:tcPr>
          <w:p w:rsidR="002300BD" w:rsidRPr="00B66862" w:rsidRDefault="002300BD" w:rsidP="002300BD">
            <w:pPr>
              <w:suppressAutoHyphens/>
              <w:spacing w:after="60"/>
              <w:ind w:right="-244"/>
              <w:rPr>
                <w:rFonts w:ascii="Arial" w:hAnsi="Arial" w:cs="Arial"/>
                <w:b/>
                <w:bCs/>
                <w:i/>
                <w:sz w:val="14"/>
                <w:szCs w:val="20"/>
              </w:rPr>
            </w:pPr>
          </w:p>
          <w:p w:rsidR="00956D85" w:rsidRPr="00B66862" w:rsidRDefault="00956D85" w:rsidP="002300BD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B66862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S</w:t>
            </w:r>
            <w:r w:rsidR="002300BD" w:rsidRPr="00B66862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pecial</w:t>
            </w:r>
            <w:r w:rsidRPr="00B66862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 xml:space="preserve"> A</w:t>
            </w:r>
            <w:r w:rsidR="002300BD" w:rsidRPr="00B66862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uthorizations</w:t>
            </w:r>
          </w:p>
        </w:tc>
        <w:tc>
          <w:tcPr>
            <w:tcW w:w="605" w:type="dxa"/>
          </w:tcPr>
          <w:p w:rsidR="0067034E" w:rsidRPr="00B66862" w:rsidRDefault="0067034E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  <w:p w:rsidR="00956D85" w:rsidRPr="00B66862" w:rsidRDefault="00956D85" w:rsidP="0067034E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20"/>
              </w:rPr>
              <w:t>Yes</w:t>
            </w: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20"/>
              </w:rPr>
              <w:t>No</w:t>
            </w:r>
          </w:p>
        </w:tc>
        <w:tc>
          <w:tcPr>
            <w:tcW w:w="2527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20"/>
              </w:rPr>
              <w:t>Specific approvals</w:t>
            </w:r>
          </w:p>
        </w:tc>
        <w:tc>
          <w:tcPr>
            <w:tcW w:w="4266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20"/>
              </w:rPr>
              <w:t xml:space="preserve">Remarks </w:t>
            </w:r>
          </w:p>
        </w:tc>
      </w:tr>
      <w:tr w:rsidR="002300BD" w:rsidRPr="00B66862" w:rsidTr="0067034E">
        <w:trPr>
          <w:trHeight w:val="458"/>
        </w:trPr>
        <w:tc>
          <w:tcPr>
            <w:tcW w:w="2383" w:type="dxa"/>
          </w:tcPr>
          <w:p w:rsidR="007E37E7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Dangerous Goods</w:t>
            </w:r>
          </w:p>
          <w:p w:rsidR="007E37E7" w:rsidRPr="00B66862" w:rsidRDefault="003C6F7B" w:rsidP="003C6F7B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O</w:t>
            </w:r>
            <w:r w:rsidR="00DC0271"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perator’s Ops </w:t>
            </w:r>
            <w:r w:rsidR="007E37E7"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Specs</w:t>
            </w: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Ref</w:t>
            </w:r>
            <w:r w:rsidR="003641D6"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:</w:t>
            </w:r>
            <w:r w:rsidRPr="00B66862">
              <w:rPr>
                <w:rFonts w:ascii="Arial" w:hAnsi="Arial" w:cs="Arial"/>
                <w:b/>
                <w:iCs/>
                <w:sz w:val="14"/>
                <w:szCs w:val="16"/>
              </w:rPr>
              <w:t>___</w:t>
            </w:r>
            <w:r w:rsidR="00DC0271" w:rsidRPr="00B66862">
              <w:rPr>
                <w:rFonts w:ascii="Arial" w:hAnsi="Arial" w:cs="Arial"/>
                <w:b/>
                <w:iCs/>
                <w:sz w:val="14"/>
                <w:szCs w:val="16"/>
              </w:rPr>
              <w:t>_</w:t>
            </w:r>
            <w:r w:rsidR="003641D6" w:rsidRPr="00B66862">
              <w:rPr>
                <w:rFonts w:ascii="Arial" w:hAnsi="Arial" w:cs="Arial"/>
                <w:b/>
                <w:iCs/>
                <w:sz w:val="14"/>
                <w:szCs w:val="16"/>
              </w:rPr>
              <w:t>_</w:t>
            </w:r>
          </w:p>
        </w:tc>
        <w:tc>
          <w:tcPr>
            <w:tcW w:w="605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527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4266" w:type="dxa"/>
          </w:tcPr>
          <w:p w:rsidR="00956D85" w:rsidRPr="00B66862" w:rsidRDefault="002331F1" w:rsidP="002331F1">
            <w:pPr>
              <w:suppressAutoHyphens/>
              <w:spacing w:after="60"/>
              <w:ind w:right="-244"/>
              <w:rPr>
                <w:rFonts w:ascii="Arial" w:hAnsi="Arial" w:cs="Arial"/>
                <w:i/>
                <w:sz w:val="14"/>
                <w:szCs w:val="16"/>
              </w:rPr>
            </w:pPr>
            <w:r w:rsidRPr="00B66862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</w:tc>
      </w:tr>
      <w:tr w:rsidR="002300BD" w:rsidRPr="00B66862" w:rsidTr="0067034E">
        <w:trPr>
          <w:trHeight w:val="1451"/>
        </w:trPr>
        <w:tc>
          <w:tcPr>
            <w:tcW w:w="2383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Low visibility operations</w:t>
            </w:r>
          </w:p>
          <w:p w:rsidR="00956D85" w:rsidRPr="00B66862" w:rsidRDefault="00956D85" w:rsidP="00901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right="-244" w:hanging="270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Approach and landing</w:t>
            </w:r>
          </w:p>
          <w:p w:rsidR="002300BD" w:rsidRPr="00B66862" w:rsidRDefault="002300BD" w:rsidP="007E37E7">
            <w:pPr>
              <w:pStyle w:val="ListParagraph"/>
              <w:spacing w:after="0" w:line="240" w:lineRule="auto"/>
              <w:ind w:left="0"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  <w:p w:rsidR="00DC0271" w:rsidRPr="00B66862" w:rsidRDefault="00956D85" w:rsidP="00DC027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70" w:right="-244" w:hanging="270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 xml:space="preserve">Take-off </w:t>
            </w:r>
          </w:p>
          <w:p w:rsidR="007E37E7" w:rsidRPr="00B66862" w:rsidRDefault="003C6F7B" w:rsidP="00DC0271">
            <w:pPr>
              <w:pStyle w:val="ListParagraph"/>
              <w:spacing w:after="120" w:line="240" w:lineRule="auto"/>
              <w:ind w:left="0"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Operator’s Ops Specs Ref: _____</w:t>
            </w:r>
          </w:p>
        </w:tc>
        <w:tc>
          <w:tcPr>
            <w:tcW w:w="605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527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  <w:p w:rsidR="002300BD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CA</w:t>
            </w:r>
            <w:r w:rsidR="00581984" w:rsidRPr="00B66862">
              <w:rPr>
                <w:rFonts w:ascii="Arial" w:hAnsi="Arial" w:cs="Arial"/>
                <w:b/>
                <w:i/>
                <w:sz w:val="14"/>
                <w:szCs w:val="18"/>
              </w:rPr>
              <w:t>T</w:t>
            </w: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 xml:space="preserve">: _____ RVR: _____ m </w:t>
            </w:r>
          </w:p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DH: _____ ft</w:t>
            </w:r>
          </w:p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RVR</w:t>
            </w:r>
            <w:r w:rsidRPr="00B66862">
              <w:rPr>
                <w:rFonts w:ascii="Arial" w:hAnsi="Arial" w:cs="Arial"/>
                <w:b/>
                <w:i/>
                <w:sz w:val="14"/>
                <w:szCs w:val="18"/>
                <w:vertAlign w:val="superscript"/>
              </w:rPr>
              <w:t>3</w:t>
            </w: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: _____ m</w:t>
            </w:r>
          </w:p>
        </w:tc>
        <w:tc>
          <w:tcPr>
            <w:tcW w:w="4266" w:type="dxa"/>
          </w:tcPr>
          <w:p w:rsidR="00581984" w:rsidRPr="00B66862" w:rsidRDefault="00581984" w:rsidP="00956D85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  <w:r w:rsidRPr="00B66862">
              <w:rPr>
                <w:rFonts w:ascii="Arial" w:hAnsi="Arial" w:cs="Arial"/>
                <w:iCs/>
                <w:sz w:val="14"/>
                <w:szCs w:val="16"/>
              </w:rPr>
              <w:t>Insert the applicable precision approach category (CAT I, II, IIIA, IIIB or IIIC), CAT II and above required separate approval.</w:t>
            </w:r>
          </w:p>
          <w:p w:rsidR="00581984" w:rsidRPr="00B66862" w:rsidRDefault="00581984" w:rsidP="00956D85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956D85" w:rsidRPr="00B66862" w:rsidRDefault="00956D85" w:rsidP="00581984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  <w:r w:rsidRPr="00B66862">
              <w:rPr>
                <w:rFonts w:ascii="Arial" w:hAnsi="Arial" w:cs="Arial"/>
                <w:iCs/>
                <w:sz w:val="14"/>
                <w:szCs w:val="16"/>
              </w:rPr>
              <w:t>Insert the approved minimum take-off RVR in metres</w:t>
            </w:r>
          </w:p>
          <w:p w:rsidR="007E37E7" w:rsidRPr="00B66862" w:rsidRDefault="007E37E7" w:rsidP="00581984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7E37E7" w:rsidRPr="00B66862" w:rsidRDefault="007E37E7" w:rsidP="00581984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2300BD" w:rsidRPr="00B66862" w:rsidTr="0067034E">
        <w:trPr>
          <w:trHeight w:val="594"/>
        </w:trPr>
        <w:tc>
          <w:tcPr>
            <w:tcW w:w="2383" w:type="dxa"/>
          </w:tcPr>
          <w:p w:rsidR="00956D85" w:rsidRPr="00B66862" w:rsidRDefault="00956D85" w:rsidP="00581984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 xml:space="preserve">RVSM    </w:t>
            </w:r>
            <w:r w:rsidRPr="00B66862">
              <w:rPr>
                <w:rFonts w:ascii="Arial" w:eastAsia="MS Gothic" w:hAnsi="MS Gothic" w:cs="Arial"/>
                <w:b/>
                <w:i/>
                <w:sz w:val="14"/>
                <w:szCs w:val="18"/>
              </w:rPr>
              <w:t>☐</w:t>
            </w:r>
            <w:r w:rsidRPr="00B66862">
              <w:rPr>
                <w:rFonts w:ascii="Arial" w:eastAsia="ArialUnicodeMS" w:hAnsi="Arial" w:cs="Arial"/>
                <w:b/>
                <w:i/>
                <w:sz w:val="14"/>
                <w:szCs w:val="18"/>
              </w:rPr>
              <w:t xml:space="preserve"> </w:t>
            </w: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N/A</w:t>
            </w:r>
          </w:p>
          <w:p w:rsidR="007E37E7" w:rsidRPr="00B66862" w:rsidRDefault="003C6F7B" w:rsidP="00581984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Operator’s Ops Specs Ref: _____</w:t>
            </w:r>
          </w:p>
        </w:tc>
        <w:tc>
          <w:tcPr>
            <w:tcW w:w="605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527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4266" w:type="dxa"/>
          </w:tcPr>
          <w:p w:rsidR="00956D85" w:rsidRPr="00B66862" w:rsidRDefault="00956D85" w:rsidP="00AC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  <w:r w:rsidRPr="00B66862">
              <w:rPr>
                <w:rFonts w:ascii="Arial" w:hAnsi="Arial" w:cs="Arial"/>
                <w:iCs/>
                <w:sz w:val="14"/>
                <w:szCs w:val="16"/>
              </w:rPr>
              <w:t>Not applicable (N/A)” box may be checked only if the aircraft maximum ceiling is below FL 290.</w:t>
            </w:r>
          </w:p>
          <w:p w:rsidR="007E37E7" w:rsidRPr="00B66862" w:rsidRDefault="007E37E7" w:rsidP="007E37E7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7E37E7" w:rsidRPr="00B66862" w:rsidRDefault="007E37E7" w:rsidP="007E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2300BD" w:rsidRPr="00B66862" w:rsidTr="0067034E">
        <w:trPr>
          <w:trHeight w:val="432"/>
        </w:trPr>
        <w:tc>
          <w:tcPr>
            <w:tcW w:w="2383" w:type="dxa"/>
          </w:tcPr>
          <w:p w:rsidR="00956D85" w:rsidRPr="00B66862" w:rsidRDefault="00956D85" w:rsidP="00581984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 xml:space="preserve">ETOPS   </w:t>
            </w:r>
            <w:r w:rsidRPr="00B66862">
              <w:rPr>
                <w:rFonts w:ascii="Arial" w:eastAsia="MS Gothic" w:hAnsi="MS Gothic" w:cs="Arial"/>
                <w:b/>
                <w:i/>
                <w:sz w:val="14"/>
                <w:szCs w:val="18"/>
              </w:rPr>
              <w:t>☐</w:t>
            </w:r>
            <w:r w:rsidRPr="00B66862">
              <w:rPr>
                <w:rFonts w:ascii="Arial" w:eastAsia="ArialUnicodeMS" w:hAnsi="Arial" w:cs="Arial"/>
                <w:b/>
                <w:i/>
                <w:sz w:val="14"/>
                <w:szCs w:val="18"/>
              </w:rPr>
              <w:t xml:space="preserve">  </w:t>
            </w: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N/A</w:t>
            </w:r>
          </w:p>
          <w:p w:rsidR="007E37E7" w:rsidRPr="00B66862" w:rsidRDefault="007E37E7" w:rsidP="00581984">
            <w:pPr>
              <w:suppressAutoHyphens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7E37E7" w:rsidRPr="00B66862" w:rsidRDefault="007E37E7" w:rsidP="00581984">
            <w:pPr>
              <w:suppressAutoHyphens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7E37E7" w:rsidRPr="00B66862" w:rsidRDefault="007E37E7" w:rsidP="00581984">
            <w:pPr>
              <w:suppressAutoHyphens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7E37E7" w:rsidRPr="00B66862" w:rsidRDefault="003C6F7B" w:rsidP="00581984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Operator’s Ops Specs Ref: _____</w:t>
            </w:r>
          </w:p>
        </w:tc>
        <w:tc>
          <w:tcPr>
            <w:tcW w:w="605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527" w:type="dxa"/>
          </w:tcPr>
          <w:p w:rsidR="002300BD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Maximum diversion time:</w:t>
            </w:r>
          </w:p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_____ minutes</w:t>
            </w:r>
          </w:p>
          <w:p w:rsidR="00956D85" w:rsidRPr="00B66862" w:rsidRDefault="00956D85" w:rsidP="002300BD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B66862">
              <w:rPr>
                <w:rFonts w:ascii="Arial" w:hAnsi="Arial" w:cs="Arial"/>
                <w:iCs/>
                <w:sz w:val="14"/>
                <w:szCs w:val="16"/>
              </w:rPr>
              <w:t>The threshold distance may also</w:t>
            </w:r>
            <w:r w:rsidR="002300BD" w:rsidRPr="00B66862">
              <w:rPr>
                <w:rFonts w:ascii="Arial" w:hAnsi="Arial" w:cs="Arial"/>
                <w:iCs/>
                <w:sz w:val="14"/>
                <w:szCs w:val="16"/>
              </w:rPr>
              <w:br/>
            </w:r>
            <w:r w:rsidRPr="00B66862">
              <w:rPr>
                <w:rFonts w:ascii="Arial" w:hAnsi="Arial" w:cs="Arial"/>
                <w:iCs/>
                <w:sz w:val="14"/>
                <w:szCs w:val="16"/>
              </w:rPr>
              <w:t xml:space="preserve"> be listed (in NM), as well as the engine type</w:t>
            </w:r>
          </w:p>
        </w:tc>
        <w:tc>
          <w:tcPr>
            <w:tcW w:w="4266" w:type="dxa"/>
          </w:tcPr>
          <w:p w:rsidR="00956D85" w:rsidRPr="00B66862" w:rsidRDefault="00956D85" w:rsidP="009012E2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  <w:r w:rsidRPr="00B66862">
              <w:rPr>
                <w:rFonts w:ascii="Arial" w:hAnsi="Arial" w:cs="Arial"/>
                <w:iCs/>
                <w:sz w:val="14"/>
                <w:szCs w:val="16"/>
              </w:rPr>
              <w:t>(ETOPS) currently applies only to twin-engine aircraft. “Not applicable (N/A)” box may be checked if the aircraft model has more than 2 engines.</w:t>
            </w:r>
          </w:p>
          <w:p w:rsidR="007E37E7" w:rsidRPr="00B66862" w:rsidRDefault="007E37E7" w:rsidP="007E37E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300BD" w:rsidRPr="00B66862" w:rsidTr="0067034E">
        <w:trPr>
          <w:trHeight w:val="2354"/>
        </w:trPr>
        <w:tc>
          <w:tcPr>
            <w:tcW w:w="2383" w:type="dxa"/>
          </w:tcPr>
          <w:p w:rsidR="00956D85" w:rsidRPr="00B66862" w:rsidRDefault="00956D85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 xml:space="preserve">Navigation specifications </w:t>
            </w:r>
          </w:p>
          <w:p w:rsidR="00956D85" w:rsidRPr="00B66862" w:rsidRDefault="00956D85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for PBN operations</w:t>
            </w:r>
          </w:p>
          <w:p w:rsidR="002A70CA" w:rsidRPr="00B66862" w:rsidRDefault="002A70CA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2A70CA" w:rsidRPr="00B66862" w:rsidRDefault="002A70CA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2A70CA" w:rsidRPr="00B66862" w:rsidRDefault="002A70CA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2A70CA" w:rsidRPr="00B66862" w:rsidRDefault="002A70CA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2A70CA" w:rsidRPr="00B66862" w:rsidRDefault="002A70CA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2A70CA" w:rsidRPr="00B66862" w:rsidRDefault="002A70CA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7E37E7" w:rsidRPr="00B66862" w:rsidRDefault="003C6F7B" w:rsidP="009012E2">
            <w:pPr>
              <w:suppressAutoHyphens/>
              <w:autoSpaceDE w:val="0"/>
              <w:autoSpaceDN w:val="0"/>
              <w:adjustRightInd w:val="0"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Operator’s Ops Specs Ref: _____</w:t>
            </w:r>
          </w:p>
        </w:tc>
        <w:tc>
          <w:tcPr>
            <w:tcW w:w="605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527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4266" w:type="dxa"/>
          </w:tcPr>
          <w:p w:rsidR="00956D85" w:rsidRPr="00B66862" w:rsidRDefault="00956D85" w:rsidP="00581984">
            <w:pPr>
              <w:autoSpaceDE w:val="0"/>
              <w:autoSpaceDN w:val="0"/>
              <w:adjustRightInd w:val="0"/>
              <w:spacing w:after="0" w:line="240" w:lineRule="auto"/>
              <w:ind w:right="-32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One line is used for each PBN specification authorization (e.g. RNAV 10, RNAV 1, RNP 4), with appropriate limitations or conditions listed in the “Specific Approvals” and/or “Remarks” columns.</w:t>
            </w:r>
          </w:p>
          <w:p w:rsidR="00956D85" w:rsidRPr="00B66862" w:rsidRDefault="00956D85" w:rsidP="00581984">
            <w:pPr>
              <w:autoSpaceDE w:val="0"/>
              <w:autoSpaceDN w:val="0"/>
              <w:adjustRightInd w:val="0"/>
              <w:spacing w:after="0" w:line="240" w:lineRule="auto"/>
              <w:ind w:right="-32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956D85" w:rsidRPr="00B66862" w:rsidRDefault="00956D85" w:rsidP="00581984">
            <w:pPr>
              <w:autoSpaceDE w:val="0"/>
              <w:autoSpaceDN w:val="0"/>
              <w:adjustRightInd w:val="0"/>
              <w:spacing w:after="0" w:line="240" w:lineRule="auto"/>
              <w:ind w:right="-32"/>
              <w:rPr>
                <w:rFonts w:ascii="Arial" w:hAnsi="Arial" w:cs="Arial"/>
                <w:b/>
                <w:i/>
                <w:sz w:val="14"/>
                <w:szCs w:val="16"/>
                <w:vertAlign w:val="superscript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Limitations, conditions and regulatory basis for operational approval associated with the performance-based navigation specifications (e.g. GNSS, DME/DME/IRU). Information on performance-based navigation, and guidance concerning the implementation and operational approval </w:t>
            </w:r>
            <w:r w:rsidR="00BE0A96"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process, are</w:t>
            </w: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contained in the </w:t>
            </w:r>
            <w:r w:rsidRPr="00B66862">
              <w:rPr>
                <w:rFonts w:ascii="Arial" w:hAnsi="Arial" w:cs="Arial"/>
                <w:sz w:val="14"/>
                <w:szCs w:val="16"/>
              </w:rPr>
              <w:t xml:space="preserve">Performance-based Navigation (PBN) Manual </w:t>
            </w: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(Doc 9613).</w:t>
            </w:r>
          </w:p>
        </w:tc>
      </w:tr>
      <w:tr w:rsidR="002300BD" w:rsidRPr="00B66862" w:rsidTr="00AD4A1D">
        <w:trPr>
          <w:trHeight w:val="756"/>
        </w:trPr>
        <w:tc>
          <w:tcPr>
            <w:tcW w:w="2383" w:type="dxa"/>
          </w:tcPr>
          <w:p w:rsidR="007E37E7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Continuing airworthiness</w:t>
            </w:r>
          </w:p>
          <w:p w:rsidR="002A70CA" w:rsidRPr="00B66862" w:rsidRDefault="002A70CA" w:rsidP="009012E2">
            <w:pPr>
              <w:suppressAutoHyphens/>
              <w:spacing w:after="60"/>
              <w:ind w:right="-244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:rsidR="00DC0271" w:rsidRPr="00B66862" w:rsidRDefault="003C6F7B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Operator’s Ops Specs Ref: _____</w:t>
            </w:r>
          </w:p>
        </w:tc>
        <w:tc>
          <w:tcPr>
            <w:tcW w:w="605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527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  <w:vertAlign w:val="superscript"/>
              </w:rPr>
            </w:pPr>
          </w:p>
        </w:tc>
        <w:tc>
          <w:tcPr>
            <w:tcW w:w="4266" w:type="dxa"/>
          </w:tcPr>
          <w:p w:rsidR="00956D85" w:rsidRPr="00B66862" w:rsidRDefault="00956D85" w:rsidP="00581984">
            <w:pPr>
              <w:suppressAutoHyphens/>
              <w:spacing w:after="60"/>
              <w:ind w:right="-32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Insert the name of the organization </w:t>
            </w:r>
            <w:r w:rsidR="009B07D9" w:rsidRPr="00B66862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or person </w:t>
            </w: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responsible for ensuring that the continuing airworthiness of the aircraft is maintained and the Regulation that requires the work, i.e. within the AOC regulation</w:t>
            </w:r>
          </w:p>
        </w:tc>
      </w:tr>
      <w:tr w:rsidR="002300BD" w:rsidRPr="00B66862" w:rsidTr="0067034E">
        <w:trPr>
          <w:trHeight w:val="432"/>
        </w:trPr>
        <w:tc>
          <w:tcPr>
            <w:tcW w:w="2383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b/>
                <w:i/>
                <w:sz w:val="14"/>
                <w:szCs w:val="18"/>
              </w:rPr>
              <w:t>Other</w:t>
            </w:r>
          </w:p>
          <w:p w:rsidR="00623CF8" w:rsidRPr="00B66862" w:rsidRDefault="00623CF8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Operator’s Ops Specs Ref: _____</w:t>
            </w:r>
          </w:p>
        </w:tc>
        <w:tc>
          <w:tcPr>
            <w:tcW w:w="605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540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527" w:type="dxa"/>
          </w:tcPr>
          <w:p w:rsidR="00956D85" w:rsidRPr="00B66862" w:rsidRDefault="00956D85" w:rsidP="009012E2">
            <w:pPr>
              <w:suppressAutoHyphens/>
              <w:spacing w:after="60"/>
              <w:ind w:right="-244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4266" w:type="dxa"/>
          </w:tcPr>
          <w:p w:rsidR="00956D85" w:rsidRPr="00B66862" w:rsidRDefault="00581984" w:rsidP="00581984">
            <w:pPr>
              <w:suppressAutoHyphens/>
              <w:spacing w:after="60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B66862">
              <w:rPr>
                <w:rFonts w:ascii="Arial" w:hAnsi="Arial" w:cs="Arial"/>
                <w:i/>
                <w:iCs/>
                <w:sz w:val="14"/>
                <w:szCs w:val="16"/>
              </w:rPr>
              <w:t>Other authorizations or data can be entered here</w:t>
            </w:r>
          </w:p>
        </w:tc>
      </w:tr>
    </w:tbl>
    <w:p w:rsidR="005153A9" w:rsidRPr="00B94226" w:rsidRDefault="005153A9" w:rsidP="00B66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153A9" w:rsidRPr="00B94226" w:rsidSect="00A333C0">
      <w:headerReference w:type="default" r:id="rId8"/>
      <w:footerReference w:type="default" r:id="rId9"/>
      <w:pgSz w:w="11906" w:h="16838"/>
      <w:pgMar w:top="1298" w:right="964" w:bottom="11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66" w:rsidRDefault="00E00F66" w:rsidP="00C33F97">
      <w:pPr>
        <w:spacing w:after="0" w:line="240" w:lineRule="auto"/>
      </w:pPr>
      <w:r>
        <w:separator/>
      </w:r>
    </w:p>
  </w:endnote>
  <w:endnote w:type="continuationSeparator" w:id="0">
    <w:p w:rsidR="00E00F66" w:rsidRDefault="00E00F66" w:rsidP="00C3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7C" w:rsidRPr="00984F67" w:rsidRDefault="0026767C" w:rsidP="00B94226">
    <w:pPr>
      <w:pStyle w:val="Footer"/>
      <w:pBdr>
        <w:top w:val="thinThickSmallGap" w:sz="24" w:space="0" w:color="622423"/>
      </w:pBdr>
      <w:tabs>
        <w:tab w:val="clear" w:pos="4513"/>
      </w:tabs>
      <w:rPr>
        <w:rFonts w:ascii="Arial" w:hAnsi="Arial" w:cs="Arial"/>
        <w:sz w:val="18"/>
        <w:szCs w:val="18"/>
      </w:rPr>
    </w:pPr>
    <w:r w:rsidRPr="00984F67">
      <w:rPr>
        <w:rFonts w:ascii="Arial" w:hAnsi="Arial" w:cs="Arial"/>
        <w:sz w:val="18"/>
        <w:szCs w:val="18"/>
      </w:rPr>
      <w:t>CAAS AW</w:t>
    </w:r>
    <w:r>
      <w:rPr>
        <w:rFonts w:ascii="Arial" w:hAnsi="Arial" w:cs="Arial"/>
        <w:sz w:val="18"/>
        <w:szCs w:val="18"/>
      </w:rPr>
      <w:t xml:space="preserve"> </w:t>
    </w:r>
    <w:r w:rsidRPr="00984F67">
      <w:rPr>
        <w:rFonts w:ascii="Arial" w:hAnsi="Arial" w:cs="Arial"/>
        <w:sz w:val="18"/>
        <w:szCs w:val="18"/>
      </w:rPr>
      <w:t xml:space="preserve">(145) Rev. </w:t>
    </w:r>
    <w:r>
      <w:rPr>
        <w:rFonts w:ascii="Arial" w:hAnsi="Arial" w:cs="Arial"/>
        <w:sz w:val="18"/>
        <w:szCs w:val="18"/>
      </w:rPr>
      <w:t>8</w:t>
    </w:r>
    <w:r w:rsidRPr="00984F67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>Jun</w:t>
    </w:r>
    <w:r w:rsidRPr="00984F67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3</w:t>
    </w:r>
    <w:r w:rsidRPr="00984F67">
      <w:rPr>
        <w:rFonts w:ascii="Arial" w:hAnsi="Arial" w:cs="Arial"/>
        <w:sz w:val="18"/>
        <w:szCs w:val="18"/>
      </w:rPr>
      <w:tab/>
      <w:t xml:space="preserve">Page </w:t>
    </w:r>
    <w:r w:rsidRPr="00984F67">
      <w:rPr>
        <w:rFonts w:ascii="Arial" w:hAnsi="Arial" w:cs="Arial"/>
        <w:sz w:val="18"/>
        <w:szCs w:val="18"/>
      </w:rPr>
      <w:fldChar w:fldCharType="begin"/>
    </w:r>
    <w:r w:rsidRPr="00984F67">
      <w:rPr>
        <w:rFonts w:ascii="Arial" w:hAnsi="Arial" w:cs="Arial"/>
        <w:sz w:val="18"/>
        <w:szCs w:val="18"/>
      </w:rPr>
      <w:instrText xml:space="preserve"> PAGE   \* MERGEFORMAT </w:instrText>
    </w:r>
    <w:r w:rsidRPr="00984F67">
      <w:rPr>
        <w:rFonts w:ascii="Arial" w:hAnsi="Arial" w:cs="Arial"/>
        <w:sz w:val="18"/>
        <w:szCs w:val="18"/>
      </w:rPr>
      <w:fldChar w:fldCharType="separate"/>
    </w:r>
    <w:r w:rsidR="001144E3">
      <w:rPr>
        <w:rFonts w:ascii="Arial" w:hAnsi="Arial" w:cs="Arial"/>
        <w:noProof/>
        <w:sz w:val="18"/>
        <w:szCs w:val="18"/>
      </w:rPr>
      <w:t>1</w:t>
    </w:r>
    <w:r w:rsidRPr="00984F67">
      <w:rPr>
        <w:rFonts w:ascii="Arial" w:hAnsi="Arial" w:cs="Arial"/>
        <w:sz w:val="18"/>
        <w:szCs w:val="18"/>
      </w:rPr>
      <w:fldChar w:fldCharType="end"/>
    </w:r>
    <w:r w:rsidR="009F715B">
      <w:rPr>
        <w:rFonts w:ascii="Arial" w:hAnsi="Arial" w:cs="Arial"/>
        <w:sz w:val="18"/>
        <w:szCs w:val="18"/>
      </w:rPr>
      <w:t xml:space="preserve"> of 1</w:t>
    </w:r>
  </w:p>
  <w:p w:rsidR="0026767C" w:rsidRPr="00984F67" w:rsidRDefault="0026767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66" w:rsidRDefault="00E00F66" w:rsidP="00C33F97">
      <w:pPr>
        <w:spacing w:after="0" w:line="240" w:lineRule="auto"/>
      </w:pPr>
      <w:r>
        <w:separator/>
      </w:r>
    </w:p>
  </w:footnote>
  <w:footnote w:type="continuationSeparator" w:id="0">
    <w:p w:rsidR="00E00F66" w:rsidRDefault="00E00F66" w:rsidP="00C3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7C" w:rsidRDefault="0026767C" w:rsidP="00B94226">
    <w:pPr>
      <w:pStyle w:val="Header"/>
      <w:pBdr>
        <w:bottom w:val="thickThinSmallGap" w:sz="24" w:space="1" w:color="622423"/>
      </w:pBdr>
      <w:ind w:right="-23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  <w:r w:rsidR="00E00F66"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style="width:98.2pt;height:41.15pt;visibility:visible">
          <v:imagedata r:id="rId1" o:title=""/>
        </v:shape>
      </w:pict>
    </w:r>
  </w:p>
  <w:p w:rsidR="0026767C" w:rsidRDefault="00267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BE5"/>
    <w:multiLevelType w:val="hybridMultilevel"/>
    <w:tmpl w:val="507CF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43A"/>
    <w:multiLevelType w:val="hybridMultilevel"/>
    <w:tmpl w:val="2D2A143E"/>
    <w:lvl w:ilvl="0" w:tplc="7A5A3756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8F30192"/>
    <w:multiLevelType w:val="hybridMultilevel"/>
    <w:tmpl w:val="F1668596"/>
    <w:lvl w:ilvl="0" w:tplc="04090017">
      <w:start w:val="1"/>
      <w:numFmt w:val="lowerLetter"/>
      <w:lvlText w:val="%1)"/>
      <w:lvlJc w:val="lef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0C530452"/>
    <w:multiLevelType w:val="hybridMultilevel"/>
    <w:tmpl w:val="EEB2EC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143FC"/>
    <w:multiLevelType w:val="hybridMultilevel"/>
    <w:tmpl w:val="2A58B86A"/>
    <w:lvl w:ilvl="0" w:tplc="3CD6697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8286C95"/>
    <w:multiLevelType w:val="hybridMultilevel"/>
    <w:tmpl w:val="E23CB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4D4"/>
    <w:multiLevelType w:val="hybridMultilevel"/>
    <w:tmpl w:val="A24A714C"/>
    <w:lvl w:ilvl="0" w:tplc="A87ABC2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5402"/>
    <w:multiLevelType w:val="hybridMultilevel"/>
    <w:tmpl w:val="1B981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7C26"/>
    <w:multiLevelType w:val="hybridMultilevel"/>
    <w:tmpl w:val="06FAFE46"/>
    <w:lvl w:ilvl="0" w:tplc="2A50915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5ED20C8"/>
    <w:multiLevelType w:val="hybridMultilevel"/>
    <w:tmpl w:val="57CCC804"/>
    <w:lvl w:ilvl="0" w:tplc="7A5A37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02F64"/>
    <w:multiLevelType w:val="hybridMultilevel"/>
    <w:tmpl w:val="B868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66F8"/>
    <w:multiLevelType w:val="hybridMultilevel"/>
    <w:tmpl w:val="11E6F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34E8"/>
    <w:multiLevelType w:val="hybridMultilevel"/>
    <w:tmpl w:val="E904CA56"/>
    <w:lvl w:ilvl="0" w:tplc="4288DF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DA2137"/>
    <w:multiLevelType w:val="hybridMultilevel"/>
    <w:tmpl w:val="E7F0A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C88"/>
    <w:multiLevelType w:val="hybridMultilevel"/>
    <w:tmpl w:val="3EEE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BAAC98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2ACC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232FFFC">
      <w:start w:val="1"/>
      <w:numFmt w:val="lowerLetter"/>
      <w:lvlText w:val="%5)"/>
      <w:lvlJc w:val="left"/>
      <w:pPr>
        <w:ind w:left="81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C0EE4"/>
    <w:multiLevelType w:val="hybridMultilevel"/>
    <w:tmpl w:val="93F21AA6"/>
    <w:lvl w:ilvl="0" w:tplc="A5F6405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17A3"/>
    <w:multiLevelType w:val="hybridMultilevel"/>
    <w:tmpl w:val="2960C1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3519"/>
    <w:multiLevelType w:val="hybridMultilevel"/>
    <w:tmpl w:val="FD3EE820"/>
    <w:lvl w:ilvl="0" w:tplc="C6F2E37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62C3885"/>
    <w:multiLevelType w:val="hybridMultilevel"/>
    <w:tmpl w:val="14A427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E81F1E"/>
    <w:multiLevelType w:val="multilevel"/>
    <w:tmpl w:val="AF60941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8876BB4"/>
    <w:multiLevelType w:val="hybridMultilevel"/>
    <w:tmpl w:val="81C037BC"/>
    <w:lvl w:ilvl="0" w:tplc="092C273C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234EB"/>
    <w:multiLevelType w:val="hybridMultilevel"/>
    <w:tmpl w:val="A5C863F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A902068"/>
    <w:multiLevelType w:val="hybridMultilevel"/>
    <w:tmpl w:val="DECA7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8743EE"/>
    <w:multiLevelType w:val="hybridMultilevel"/>
    <w:tmpl w:val="A0486D96"/>
    <w:lvl w:ilvl="0" w:tplc="60EEE0A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1244A"/>
    <w:multiLevelType w:val="hybridMultilevel"/>
    <w:tmpl w:val="E43430DA"/>
    <w:lvl w:ilvl="0" w:tplc="532ACC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6A5E"/>
    <w:multiLevelType w:val="hybridMultilevel"/>
    <w:tmpl w:val="43E89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80918"/>
    <w:multiLevelType w:val="hybridMultilevel"/>
    <w:tmpl w:val="032E67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DCF4398"/>
    <w:multiLevelType w:val="hybridMultilevel"/>
    <w:tmpl w:val="43E89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D6270"/>
    <w:multiLevelType w:val="hybridMultilevel"/>
    <w:tmpl w:val="4FC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F1770"/>
    <w:multiLevelType w:val="hybridMultilevel"/>
    <w:tmpl w:val="5E60E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51142"/>
    <w:multiLevelType w:val="hybridMultilevel"/>
    <w:tmpl w:val="90AC7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11"/>
  </w:num>
  <w:num w:numId="5">
    <w:abstractNumId w:val="0"/>
  </w:num>
  <w:num w:numId="6">
    <w:abstractNumId w:val="6"/>
  </w:num>
  <w:num w:numId="7">
    <w:abstractNumId w:val="31"/>
  </w:num>
  <w:num w:numId="8">
    <w:abstractNumId w:val="30"/>
  </w:num>
  <w:num w:numId="9">
    <w:abstractNumId w:val="14"/>
  </w:num>
  <w:num w:numId="10">
    <w:abstractNumId w:val="12"/>
  </w:num>
  <w:num w:numId="11">
    <w:abstractNumId w:val="26"/>
  </w:num>
  <w:num w:numId="12">
    <w:abstractNumId w:val="22"/>
  </w:num>
  <w:num w:numId="13">
    <w:abstractNumId w:val="8"/>
  </w:num>
  <w:num w:numId="14">
    <w:abstractNumId w:val="5"/>
  </w:num>
  <w:num w:numId="15">
    <w:abstractNumId w:val="4"/>
  </w:num>
  <w:num w:numId="16">
    <w:abstractNumId w:val="17"/>
  </w:num>
  <w:num w:numId="17">
    <w:abstractNumId w:val="3"/>
  </w:num>
  <w:num w:numId="18">
    <w:abstractNumId w:val="21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9"/>
  </w:num>
  <w:num w:numId="24">
    <w:abstractNumId w:val="18"/>
  </w:num>
  <w:num w:numId="25">
    <w:abstractNumId w:val="27"/>
  </w:num>
  <w:num w:numId="26">
    <w:abstractNumId w:val="2"/>
  </w:num>
  <w:num w:numId="27">
    <w:abstractNumId w:val="20"/>
  </w:num>
  <w:num w:numId="28">
    <w:abstractNumId w:val="19"/>
  </w:num>
  <w:num w:numId="29">
    <w:abstractNumId w:val="23"/>
  </w:num>
  <w:num w:numId="30">
    <w:abstractNumId w:val="16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F97"/>
    <w:rsid w:val="000017DE"/>
    <w:rsid w:val="000068ED"/>
    <w:rsid w:val="00007E3E"/>
    <w:rsid w:val="0001262E"/>
    <w:rsid w:val="000273AB"/>
    <w:rsid w:val="00030B1F"/>
    <w:rsid w:val="000325B5"/>
    <w:rsid w:val="000356C5"/>
    <w:rsid w:val="00045964"/>
    <w:rsid w:val="00054685"/>
    <w:rsid w:val="00061B05"/>
    <w:rsid w:val="0006594F"/>
    <w:rsid w:val="00075331"/>
    <w:rsid w:val="000766BB"/>
    <w:rsid w:val="00076DE2"/>
    <w:rsid w:val="000846A9"/>
    <w:rsid w:val="00085286"/>
    <w:rsid w:val="000B593A"/>
    <w:rsid w:val="000C2633"/>
    <w:rsid w:val="000C7031"/>
    <w:rsid w:val="000D01BA"/>
    <w:rsid w:val="000D4D2F"/>
    <w:rsid w:val="000E166C"/>
    <w:rsid w:val="000E7C4E"/>
    <w:rsid w:val="000F24C1"/>
    <w:rsid w:val="001028BB"/>
    <w:rsid w:val="00111F9F"/>
    <w:rsid w:val="001140E0"/>
    <w:rsid w:val="001144E3"/>
    <w:rsid w:val="00115D13"/>
    <w:rsid w:val="00117C33"/>
    <w:rsid w:val="00123D41"/>
    <w:rsid w:val="00133602"/>
    <w:rsid w:val="0015095E"/>
    <w:rsid w:val="00154EE0"/>
    <w:rsid w:val="00160899"/>
    <w:rsid w:val="00164942"/>
    <w:rsid w:val="00172DF8"/>
    <w:rsid w:val="00181F7B"/>
    <w:rsid w:val="00182EE6"/>
    <w:rsid w:val="001832E6"/>
    <w:rsid w:val="00185EB2"/>
    <w:rsid w:val="0019445E"/>
    <w:rsid w:val="001952DA"/>
    <w:rsid w:val="001A3B58"/>
    <w:rsid w:val="001B2C93"/>
    <w:rsid w:val="001B40FA"/>
    <w:rsid w:val="001B4DD7"/>
    <w:rsid w:val="001F088D"/>
    <w:rsid w:val="001F10DA"/>
    <w:rsid w:val="001F50A8"/>
    <w:rsid w:val="001F51AC"/>
    <w:rsid w:val="0020279A"/>
    <w:rsid w:val="002028A5"/>
    <w:rsid w:val="0020598D"/>
    <w:rsid w:val="0021264B"/>
    <w:rsid w:val="002242AE"/>
    <w:rsid w:val="002273D9"/>
    <w:rsid w:val="002300BD"/>
    <w:rsid w:val="002331F1"/>
    <w:rsid w:val="00233BAF"/>
    <w:rsid w:val="00237D2A"/>
    <w:rsid w:val="00240EF4"/>
    <w:rsid w:val="002439B6"/>
    <w:rsid w:val="0024460C"/>
    <w:rsid w:val="0024464F"/>
    <w:rsid w:val="0024722A"/>
    <w:rsid w:val="002627BE"/>
    <w:rsid w:val="00264321"/>
    <w:rsid w:val="0026598F"/>
    <w:rsid w:val="00265FFD"/>
    <w:rsid w:val="0026767C"/>
    <w:rsid w:val="00267731"/>
    <w:rsid w:val="00271FD4"/>
    <w:rsid w:val="0027515A"/>
    <w:rsid w:val="0027765B"/>
    <w:rsid w:val="00281220"/>
    <w:rsid w:val="0028426F"/>
    <w:rsid w:val="00291EF0"/>
    <w:rsid w:val="00292C29"/>
    <w:rsid w:val="002937AA"/>
    <w:rsid w:val="002A61F9"/>
    <w:rsid w:val="002A70CA"/>
    <w:rsid w:val="002A778C"/>
    <w:rsid w:val="002B637B"/>
    <w:rsid w:val="002C27E5"/>
    <w:rsid w:val="002C5C8F"/>
    <w:rsid w:val="002D1DA5"/>
    <w:rsid w:val="002D4FB4"/>
    <w:rsid w:val="002D7074"/>
    <w:rsid w:val="002E132B"/>
    <w:rsid w:val="002E3B52"/>
    <w:rsid w:val="002E6A24"/>
    <w:rsid w:val="002F23DB"/>
    <w:rsid w:val="00311E20"/>
    <w:rsid w:val="003135FE"/>
    <w:rsid w:val="00315882"/>
    <w:rsid w:val="00316F77"/>
    <w:rsid w:val="0032288F"/>
    <w:rsid w:val="003235D3"/>
    <w:rsid w:val="00323FDC"/>
    <w:rsid w:val="00331376"/>
    <w:rsid w:val="00334F5F"/>
    <w:rsid w:val="0034574E"/>
    <w:rsid w:val="003641D6"/>
    <w:rsid w:val="0038102C"/>
    <w:rsid w:val="00384F47"/>
    <w:rsid w:val="00391C60"/>
    <w:rsid w:val="00391D9D"/>
    <w:rsid w:val="0039741A"/>
    <w:rsid w:val="003C334D"/>
    <w:rsid w:val="003C3DCB"/>
    <w:rsid w:val="003C6515"/>
    <w:rsid w:val="003C6F7B"/>
    <w:rsid w:val="003E5DC8"/>
    <w:rsid w:val="003F5703"/>
    <w:rsid w:val="003F57E6"/>
    <w:rsid w:val="004041E9"/>
    <w:rsid w:val="0041180D"/>
    <w:rsid w:val="0041416D"/>
    <w:rsid w:val="0041553D"/>
    <w:rsid w:val="00415F25"/>
    <w:rsid w:val="0042240C"/>
    <w:rsid w:val="00422935"/>
    <w:rsid w:val="00430B04"/>
    <w:rsid w:val="00441D4C"/>
    <w:rsid w:val="004607F9"/>
    <w:rsid w:val="00460F9C"/>
    <w:rsid w:val="00465DF3"/>
    <w:rsid w:val="00470365"/>
    <w:rsid w:val="00470E0D"/>
    <w:rsid w:val="0047405E"/>
    <w:rsid w:val="00475117"/>
    <w:rsid w:val="004977F4"/>
    <w:rsid w:val="004A5350"/>
    <w:rsid w:val="004B3AD4"/>
    <w:rsid w:val="004C08E1"/>
    <w:rsid w:val="004C1471"/>
    <w:rsid w:val="004C1B59"/>
    <w:rsid w:val="004C77A2"/>
    <w:rsid w:val="004D3230"/>
    <w:rsid w:val="004D7FE6"/>
    <w:rsid w:val="004E3400"/>
    <w:rsid w:val="004E3F91"/>
    <w:rsid w:val="004E5A44"/>
    <w:rsid w:val="004F1991"/>
    <w:rsid w:val="004F26C5"/>
    <w:rsid w:val="004F3DFC"/>
    <w:rsid w:val="004F4B48"/>
    <w:rsid w:val="004F4F30"/>
    <w:rsid w:val="00501DD1"/>
    <w:rsid w:val="0050206E"/>
    <w:rsid w:val="0051268C"/>
    <w:rsid w:val="005153A9"/>
    <w:rsid w:val="00524AC1"/>
    <w:rsid w:val="005319EB"/>
    <w:rsid w:val="00532D87"/>
    <w:rsid w:val="005375DA"/>
    <w:rsid w:val="005437B7"/>
    <w:rsid w:val="00553A2F"/>
    <w:rsid w:val="00563E9E"/>
    <w:rsid w:val="0057440B"/>
    <w:rsid w:val="005805CC"/>
    <w:rsid w:val="0058143F"/>
    <w:rsid w:val="00581984"/>
    <w:rsid w:val="005827EA"/>
    <w:rsid w:val="00584ECC"/>
    <w:rsid w:val="005A4E11"/>
    <w:rsid w:val="005A6005"/>
    <w:rsid w:val="005B2EA0"/>
    <w:rsid w:val="005B3443"/>
    <w:rsid w:val="005B588A"/>
    <w:rsid w:val="005D18BC"/>
    <w:rsid w:val="005E3554"/>
    <w:rsid w:val="005F563D"/>
    <w:rsid w:val="0060362F"/>
    <w:rsid w:val="00606300"/>
    <w:rsid w:val="00606A4A"/>
    <w:rsid w:val="00610679"/>
    <w:rsid w:val="0062381A"/>
    <w:rsid w:val="00623C36"/>
    <w:rsid w:val="00623CF8"/>
    <w:rsid w:val="00630303"/>
    <w:rsid w:val="0063506C"/>
    <w:rsid w:val="0064200C"/>
    <w:rsid w:val="00647B4E"/>
    <w:rsid w:val="006507DB"/>
    <w:rsid w:val="00665319"/>
    <w:rsid w:val="0067034E"/>
    <w:rsid w:val="006711DF"/>
    <w:rsid w:val="0067321F"/>
    <w:rsid w:val="0067386E"/>
    <w:rsid w:val="00674F6D"/>
    <w:rsid w:val="00681DDB"/>
    <w:rsid w:val="00682710"/>
    <w:rsid w:val="00682FFA"/>
    <w:rsid w:val="00683AD9"/>
    <w:rsid w:val="00685AFE"/>
    <w:rsid w:val="006A20E9"/>
    <w:rsid w:val="006A40FE"/>
    <w:rsid w:val="006B772A"/>
    <w:rsid w:val="006C2263"/>
    <w:rsid w:val="006D4A5E"/>
    <w:rsid w:val="006F71C3"/>
    <w:rsid w:val="00704FEA"/>
    <w:rsid w:val="007078D6"/>
    <w:rsid w:val="0071301C"/>
    <w:rsid w:val="007132AB"/>
    <w:rsid w:val="007139BA"/>
    <w:rsid w:val="0072293F"/>
    <w:rsid w:val="007277F6"/>
    <w:rsid w:val="00736961"/>
    <w:rsid w:val="0074395B"/>
    <w:rsid w:val="00764EE7"/>
    <w:rsid w:val="00767BB2"/>
    <w:rsid w:val="0077242D"/>
    <w:rsid w:val="00777483"/>
    <w:rsid w:val="00777665"/>
    <w:rsid w:val="007816F6"/>
    <w:rsid w:val="00783936"/>
    <w:rsid w:val="00787FD7"/>
    <w:rsid w:val="007A0F5A"/>
    <w:rsid w:val="007A6DE7"/>
    <w:rsid w:val="007B32CA"/>
    <w:rsid w:val="007B78DA"/>
    <w:rsid w:val="007D1968"/>
    <w:rsid w:val="007D227E"/>
    <w:rsid w:val="007E37E7"/>
    <w:rsid w:val="007E5293"/>
    <w:rsid w:val="007E5575"/>
    <w:rsid w:val="007E68CC"/>
    <w:rsid w:val="007F1674"/>
    <w:rsid w:val="007F19B9"/>
    <w:rsid w:val="007F2F8B"/>
    <w:rsid w:val="007F3576"/>
    <w:rsid w:val="007F4320"/>
    <w:rsid w:val="008255A4"/>
    <w:rsid w:val="008266C5"/>
    <w:rsid w:val="00833CBA"/>
    <w:rsid w:val="00834E6D"/>
    <w:rsid w:val="00840EA3"/>
    <w:rsid w:val="008521EC"/>
    <w:rsid w:val="00852D4E"/>
    <w:rsid w:val="0086693C"/>
    <w:rsid w:val="00872201"/>
    <w:rsid w:val="008724B8"/>
    <w:rsid w:val="00876CFE"/>
    <w:rsid w:val="008772B8"/>
    <w:rsid w:val="00880C7C"/>
    <w:rsid w:val="008C4A47"/>
    <w:rsid w:val="008D2C09"/>
    <w:rsid w:val="008D3F40"/>
    <w:rsid w:val="008D7E5C"/>
    <w:rsid w:val="008E6FF4"/>
    <w:rsid w:val="008F1A7F"/>
    <w:rsid w:val="008F2969"/>
    <w:rsid w:val="008F532A"/>
    <w:rsid w:val="008F68B3"/>
    <w:rsid w:val="009012E2"/>
    <w:rsid w:val="009041DF"/>
    <w:rsid w:val="00910D1F"/>
    <w:rsid w:val="00911F4E"/>
    <w:rsid w:val="0091444F"/>
    <w:rsid w:val="00914A70"/>
    <w:rsid w:val="009163E1"/>
    <w:rsid w:val="00917C37"/>
    <w:rsid w:val="0092061B"/>
    <w:rsid w:val="00922F2D"/>
    <w:rsid w:val="00924EBA"/>
    <w:rsid w:val="009252DF"/>
    <w:rsid w:val="00933A24"/>
    <w:rsid w:val="00934D75"/>
    <w:rsid w:val="00943DBA"/>
    <w:rsid w:val="00954770"/>
    <w:rsid w:val="00956D85"/>
    <w:rsid w:val="00971396"/>
    <w:rsid w:val="009733CD"/>
    <w:rsid w:val="00975E94"/>
    <w:rsid w:val="00977730"/>
    <w:rsid w:val="00984F67"/>
    <w:rsid w:val="00994150"/>
    <w:rsid w:val="009B02E0"/>
    <w:rsid w:val="009B051A"/>
    <w:rsid w:val="009B07D9"/>
    <w:rsid w:val="009C6DCC"/>
    <w:rsid w:val="009D3400"/>
    <w:rsid w:val="009E59B9"/>
    <w:rsid w:val="009F0A3D"/>
    <w:rsid w:val="009F1558"/>
    <w:rsid w:val="009F387C"/>
    <w:rsid w:val="009F715B"/>
    <w:rsid w:val="009F7214"/>
    <w:rsid w:val="00A0171C"/>
    <w:rsid w:val="00A13082"/>
    <w:rsid w:val="00A13571"/>
    <w:rsid w:val="00A14083"/>
    <w:rsid w:val="00A16C7D"/>
    <w:rsid w:val="00A22BF8"/>
    <w:rsid w:val="00A268A8"/>
    <w:rsid w:val="00A31A59"/>
    <w:rsid w:val="00A333C0"/>
    <w:rsid w:val="00A427D0"/>
    <w:rsid w:val="00A44167"/>
    <w:rsid w:val="00A4606E"/>
    <w:rsid w:val="00A5570A"/>
    <w:rsid w:val="00A561E2"/>
    <w:rsid w:val="00A64C53"/>
    <w:rsid w:val="00A662C3"/>
    <w:rsid w:val="00A71B2B"/>
    <w:rsid w:val="00A77C3D"/>
    <w:rsid w:val="00A80990"/>
    <w:rsid w:val="00A90B23"/>
    <w:rsid w:val="00AA0EBC"/>
    <w:rsid w:val="00AA17ED"/>
    <w:rsid w:val="00AA1F36"/>
    <w:rsid w:val="00AB1979"/>
    <w:rsid w:val="00AC7AC7"/>
    <w:rsid w:val="00AD4A1D"/>
    <w:rsid w:val="00AD5A86"/>
    <w:rsid w:val="00AD5DBE"/>
    <w:rsid w:val="00AD603E"/>
    <w:rsid w:val="00AE7579"/>
    <w:rsid w:val="00AF372D"/>
    <w:rsid w:val="00AF4203"/>
    <w:rsid w:val="00AF6923"/>
    <w:rsid w:val="00B03B2C"/>
    <w:rsid w:val="00B04B26"/>
    <w:rsid w:val="00B052C2"/>
    <w:rsid w:val="00B1437C"/>
    <w:rsid w:val="00B149CE"/>
    <w:rsid w:val="00B20B64"/>
    <w:rsid w:val="00B51AC9"/>
    <w:rsid w:val="00B63869"/>
    <w:rsid w:val="00B66862"/>
    <w:rsid w:val="00B70293"/>
    <w:rsid w:val="00B87068"/>
    <w:rsid w:val="00B90182"/>
    <w:rsid w:val="00B92F82"/>
    <w:rsid w:val="00B94226"/>
    <w:rsid w:val="00B96D71"/>
    <w:rsid w:val="00BB3C43"/>
    <w:rsid w:val="00BB3F1C"/>
    <w:rsid w:val="00BB417F"/>
    <w:rsid w:val="00BC210C"/>
    <w:rsid w:val="00BC4750"/>
    <w:rsid w:val="00BC5FC4"/>
    <w:rsid w:val="00BC63E5"/>
    <w:rsid w:val="00BD0471"/>
    <w:rsid w:val="00BD4E78"/>
    <w:rsid w:val="00BE0A96"/>
    <w:rsid w:val="00BE500E"/>
    <w:rsid w:val="00BE640E"/>
    <w:rsid w:val="00BE7AEF"/>
    <w:rsid w:val="00BF5F74"/>
    <w:rsid w:val="00C0153A"/>
    <w:rsid w:val="00C06EAA"/>
    <w:rsid w:val="00C2041D"/>
    <w:rsid w:val="00C33E42"/>
    <w:rsid w:val="00C33F97"/>
    <w:rsid w:val="00C36148"/>
    <w:rsid w:val="00C4466A"/>
    <w:rsid w:val="00C51B16"/>
    <w:rsid w:val="00C52D37"/>
    <w:rsid w:val="00C5493C"/>
    <w:rsid w:val="00C605B0"/>
    <w:rsid w:val="00C72305"/>
    <w:rsid w:val="00C84058"/>
    <w:rsid w:val="00C85D51"/>
    <w:rsid w:val="00C9025B"/>
    <w:rsid w:val="00C960B0"/>
    <w:rsid w:val="00C9706D"/>
    <w:rsid w:val="00CA4B74"/>
    <w:rsid w:val="00CA5FC7"/>
    <w:rsid w:val="00CB21EC"/>
    <w:rsid w:val="00CC3EAC"/>
    <w:rsid w:val="00CD17E6"/>
    <w:rsid w:val="00CD3D4D"/>
    <w:rsid w:val="00CD4DD4"/>
    <w:rsid w:val="00CD6CDC"/>
    <w:rsid w:val="00D00102"/>
    <w:rsid w:val="00D014EA"/>
    <w:rsid w:val="00D107E7"/>
    <w:rsid w:val="00D13198"/>
    <w:rsid w:val="00D14021"/>
    <w:rsid w:val="00D247C1"/>
    <w:rsid w:val="00D33A5A"/>
    <w:rsid w:val="00D410E1"/>
    <w:rsid w:val="00D42F24"/>
    <w:rsid w:val="00D50C69"/>
    <w:rsid w:val="00D56B21"/>
    <w:rsid w:val="00D73085"/>
    <w:rsid w:val="00D7440C"/>
    <w:rsid w:val="00D76BAD"/>
    <w:rsid w:val="00D84593"/>
    <w:rsid w:val="00D84643"/>
    <w:rsid w:val="00D9149E"/>
    <w:rsid w:val="00DA2CCE"/>
    <w:rsid w:val="00DB3B2D"/>
    <w:rsid w:val="00DC0271"/>
    <w:rsid w:val="00DC341B"/>
    <w:rsid w:val="00DC5B77"/>
    <w:rsid w:val="00DD1910"/>
    <w:rsid w:val="00DD24BB"/>
    <w:rsid w:val="00DE1567"/>
    <w:rsid w:val="00DE1D79"/>
    <w:rsid w:val="00DF123C"/>
    <w:rsid w:val="00DF6559"/>
    <w:rsid w:val="00E00F66"/>
    <w:rsid w:val="00E076A1"/>
    <w:rsid w:val="00E112EA"/>
    <w:rsid w:val="00E247DF"/>
    <w:rsid w:val="00E40D6D"/>
    <w:rsid w:val="00E4436B"/>
    <w:rsid w:val="00E47C60"/>
    <w:rsid w:val="00E54FBA"/>
    <w:rsid w:val="00E570CB"/>
    <w:rsid w:val="00E57B38"/>
    <w:rsid w:val="00E620BA"/>
    <w:rsid w:val="00E62F2A"/>
    <w:rsid w:val="00E75F0D"/>
    <w:rsid w:val="00E81E36"/>
    <w:rsid w:val="00E8352E"/>
    <w:rsid w:val="00E86418"/>
    <w:rsid w:val="00EA6291"/>
    <w:rsid w:val="00EB47AB"/>
    <w:rsid w:val="00ED2474"/>
    <w:rsid w:val="00EE5F69"/>
    <w:rsid w:val="00EE7DC6"/>
    <w:rsid w:val="00EF62DD"/>
    <w:rsid w:val="00EF7AE2"/>
    <w:rsid w:val="00F118E3"/>
    <w:rsid w:val="00F13158"/>
    <w:rsid w:val="00F22AEB"/>
    <w:rsid w:val="00F3054F"/>
    <w:rsid w:val="00F32CCA"/>
    <w:rsid w:val="00F344C3"/>
    <w:rsid w:val="00F34FD4"/>
    <w:rsid w:val="00F566C7"/>
    <w:rsid w:val="00F61C0D"/>
    <w:rsid w:val="00F61DDE"/>
    <w:rsid w:val="00F77484"/>
    <w:rsid w:val="00F77B96"/>
    <w:rsid w:val="00F85331"/>
    <w:rsid w:val="00F86F66"/>
    <w:rsid w:val="00F9159F"/>
    <w:rsid w:val="00F92016"/>
    <w:rsid w:val="00F9270A"/>
    <w:rsid w:val="00F96574"/>
    <w:rsid w:val="00FA1027"/>
    <w:rsid w:val="00FA56DA"/>
    <w:rsid w:val="00FC2A9E"/>
    <w:rsid w:val="00FC7DE9"/>
    <w:rsid w:val="00FD2427"/>
    <w:rsid w:val="00FE473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6F038-D04C-4FA9-8A6C-5578AC2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97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153A9"/>
    <w:pPr>
      <w:keepNext/>
      <w:numPr>
        <w:numId w:val="26"/>
      </w:numPr>
      <w:spacing w:before="240" w:after="60" w:line="240" w:lineRule="auto"/>
      <w:outlineLvl w:val="0"/>
    </w:pPr>
    <w:rPr>
      <w:rFonts w:ascii="Verdana" w:eastAsia="Times New Roman" w:hAnsi="Verdana"/>
      <w:b/>
      <w:bCs/>
      <w:kern w:val="32"/>
      <w:sz w:val="28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5153A9"/>
    <w:pPr>
      <w:keepNext/>
      <w:numPr>
        <w:ilvl w:val="1"/>
        <w:numId w:val="26"/>
      </w:numPr>
      <w:spacing w:before="240" w:after="60" w:line="240" w:lineRule="auto"/>
      <w:outlineLvl w:val="1"/>
    </w:pPr>
    <w:rPr>
      <w:rFonts w:ascii="Verdana" w:eastAsia="Times New Roman" w:hAnsi="Verdana"/>
      <w:b/>
      <w:sz w:val="28"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5153A9"/>
    <w:pPr>
      <w:keepNext/>
      <w:numPr>
        <w:ilvl w:val="2"/>
        <w:numId w:val="26"/>
      </w:numPr>
      <w:spacing w:before="240" w:after="60" w:line="240" w:lineRule="auto"/>
      <w:outlineLvl w:val="2"/>
    </w:pPr>
    <w:rPr>
      <w:rFonts w:ascii="Verdana" w:eastAsia="Times New Roman" w:hAnsi="Verdana"/>
      <w:b/>
      <w:sz w:val="26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5153A9"/>
    <w:pPr>
      <w:keepNext/>
      <w:numPr>
        <w:ilvl w:val="3"/>
        <w:numId w:val="26"/>
      </w:numPr>
      <w:spacing w:before="240" w:after="60" w:line="240" w:lineRule="auto"/>
      <w:outlineLvl w:val="3"/>
    </w:pPr>
    <w:rPr>
      <w:rFonts w:eastAsia="Times New Roman"/>
      <w:b/>
      <w:sz w:val="28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5153A9"/>
    <w:pPr>
      <w:numPr>
        <w:ilvl w:val="4"/>
        <w:numId w:val="26"/>
      </w:num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5153A9"/>
    <w:pPr>
      <w:numPr>
        <w:ilvl w:val="5"/>
        <w:numId w:val="26"/>
      </w:numPr>
      <w:spacing w:before="240" w:after="60" w:line="240" w:lineRule="auto"/>
      <w:outlineLvl w:val="5"/>
    </w:pPr>
    <w:rPr>
      <w:rFonts w:eastAsia="Times New Roman"/>
      <w:b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5153A9"/>
    <w:pPr>
      <w:numPr>
        <w:ilvl w:val="6"/>
        <w:numId w:val="26"/>
      </w:numPr>
      <w:spacing w:before="240" w:after="60" w:line="240" w:lineRule="auto"/>
      <w:outlineLvl w:val="6"/>
    </w:pPr>
    <w:rPr>
      <w:rFonts w:eastAsia="Times New Roman"/>
      <w:sz w:val="24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qFormat/>
    <w:rsid w:val="005153A9"/>
    <w:pPr>
      <w:numPr>
        <w:ilvl w:val="7"/>
        <w:numId w:val="26"/>
      </w:numPr>
      <w:spacing w:before="240" w:after="60" w:line="240" w:lineRule="auto"/>
      <w:outlineLvl w:val="7"/>
    </w:pPr>
    <w:rPr>
      <w:rFonts w:eastAsia="Times New Roman"/>
      <w:i/>
      <w:sz w:val="24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5153A9"/>
    <w:pPr>
      <w:numPr>
        <w:ilvl w:val="8"/>
        <w:numId w:val="26"/>
      </w:numPr>
      <w:spacing w:before="240" w:after="60" w:line="240" w:lineRule="auto"/>
      <w:outlineLvl w:val="8"/>
    </w:pPr>
    <w:rPr>
      <w:rFonts w:ascii="Cambria" w:eastAsia="Times New Roman" w:hAnsi="Cambria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97"/>
  </w:style>
  <w:style w:type="paragraph" w:styleId="Footer">
    <w:name w:val="footer"/>
    <w:basedOn w:val="Normal"/>
    <w:link w:val="FooterChar"/>
    <w:uiPriority w:val="99"/>
    <w:unhideWhenUsed/>
    <w:rsid w:val="00C3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97"/>
  </w:style>
  <w:style w:type="paragraph" w:styleId="BalloonText">
    <w:name w:val="Balloon Text"/>
    <w:basedOn w:val="Normal"/>
    <w:link w:val="BalloonTextChar"/>
    <w:uiPriority w:val="99"/>
    <w:semiHidden/>
    <w:unhideWhenUsed/>
    <w:rsid w:val="00C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F97"/>
    <w:pPr>
      <w:ind w:left="720"/>
      <w:contextualSpacing/>
    </w:pPr>
  </w:style>
  <w:style w:type="paragraph" w:styleId="NormalWeb">
    <w:name w:val="Normal (Web)"/>
    <w:basedOn w:val="Normal"/>
    <w:rsid w:val="00610679"/>
    <w:pPr>
      <w:spacing w:before="100" w:beforeAutospacing="1" w:after="100" w:afterAutospacing="1" w:line="240" w:lineRule="auto"/>
    </w:pPr>
    <w:rPr>
      <w:rFonts w:ascii="SimSun" w:hAnsi="SimSun" w:hint="eastAsia"/>
      <w:sz w:val="24"/>
      <w:szCs w:val="24"/>
    </w:rPr>
  </w:style>
  <w:style w:type="character" w:styleId="Hyperlink">
    <w:name w:val="Hyperlink"/>
    <w:uiPriority w:val="99"/>
    <w:unhideWhenUsed/>
    <w:rsid w:val="007F357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362F"/>
    <w:rPr>
      <w:b/>
      <w:bCs/>
    </w:rPr>
  </w:style>
  <w:style w:type="paragraph" w:styleId="Revision">
    <w:name w:val="Revision"/>
    <w:hidden/>
    <w:uiPriority w:val="99"/>
    <w:semiHidden/>
    <w:rsid w:val="00AA17ED"/>
    <w:rPr>
      <w:sz w:val="22"/>
      <w:szCs w:val="22"/>
      <w:lang w:eastAsia="zh-CN"/>
    </w:rPr>
  </w:style>
  <w:style w:type="paragraph" w:styleId="BodyTextIndent2">
    <w:name w:val="Body Text Indent 2"/>
    <w:basedOn w:val="Normal"/>
    <w:link w:val="BodyTextIndent2Char"/>
    <w:rsid w:val="0047405E"/>
    <w:pPr>
      <w:spacing w:after="120" w:line="480" w:lineRule="auto"/>
      <w:ind w:left="360"/>
      <w:jc w:val="both"/>
    </w:pPr>
    <w:rPr>
      <w:rFonts w:ascii="Times New Roman" w:eastAsia="Times New Roman" w:hAnsi="Times New Roman"/>
      <w:szCs w:val="20"/>
      <w:lang w:val="en-GB" w:eastAsia="en-US"/>
    </w:rPr>
  </w:style>
  <w:style w:type="character" w:customStyle="1" w:styleId="BodyTextIndent2Char">
    <w:name w:val="Body Text Indent 2 Char"/>
    <w:link w:val="BodyTextIndent2"/>
    <w:rsid w:val="0047405E"/>
    <w:rPr>
      <w:rFonts w:ascii="Times New Roman" w:eastAsia="Times New Roman" w:hAnsi="Times New Roman"/>
      <w:sz w:val="22"/>
      <w:lang w:val="en-GB" w:eastAsia="en-US"/>
    </w:rPr>
  </w:style>
  <w:style w:type="paragraph" w:customStyle="1" w:styleId="Default">
    <w:name w:val="Default"/>
    <w:rsid w:val="00916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rsid w:val="005153A9"/>
    <w:rPr>
      <w:rFonts w:ascii="Verdana" w:eastAsia="Times New Roman" w:hAnsi="Verdana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link w:val="Heading2"/>
    <w:rsid w:val="005153A9"/>
    <w:rPr>
      <w:rFonts w:ascii="Verdana" w:eastAsia="Times New Roman" w:hAnsi="Verdana"/>
      <w:b/>
      <w:sz w:val="28"/>
      <w:lang w:val="de-DE" w:eastAsia="de-DE"/>
    </w:rPr>
  </w:style>
  <w:style w:type="character" w:customStyle="1" w:styleId="Heading3Char">
    <w:name w:val="Heading 3 Char"/>
    <w:link w:val="Heading3"/>
    <w:rsid w:val="005153A9"/>
    <w:rPr>
      <w:rFonts w:ascii="Verdana" w:eastAsia="Times New Roman" w:hAnsi="Verdana"/>
      <w:b/>
      <w:sz w:val="26"/>
      <w:lang w:val="de-DE" w:eastAsia="de-DE"/>
    </w:rPr>
  </w:style>
  <w:style w:type="character" w:customStyle="1" w:styleId="Heading4Char">
    <w:name w:val="Heading 4 Char"/>
    <w:link w:val="Heading4"/>
    <w:rsid w:val="005153A9"/>
    <w:rPr>
      <w:rFonts w:eastAsia="Times New Roman"/>
      <w:b/>
      <w:sz w:val="28"/>
      <w:lang w:val="de-DE" w:eastAsia="de-DE"/>
    </w:rPr>
  </w:style>
  <w:style w:type="character" w:customStyle="1" w:styleId="Heading5Char">
    <w:name w:val="Heading 5 Char"/>
    <w:link w:val="Heading5"/>
    <w:rsid w:val="005153A9"/>
    <w:rPr>
      <w:rFonts w:eastAsia="Times New Roman"/>
      <w:b/>
      <w:i/>
      <w:sz w:val="26"/>
      <w:lang w:val="de-DE" w:eastAsia="de-DE"/>
    </w:rPr>
  </w:style>
  <w:style w:type="character" w:customStyle="1" w:styleId="Heading6Char">
    <w:name w:val="Heading 6 Char"/>
    <w:link w:val="Heading6"/>
    <w:rsid w:val="005153A9"/>
    <w:rPr>
      <w:rFonts w:eastAsia="Times New Roman"/>
      <w:b/>
      <w:sz w:val="22"/>
      <w:lang w:val="de-DE" w:eastAsia="de-DE"/>
    </w:rPr>
  </w:style>
  <w:style w:type="character" w:customStyle="1" w:styleId="Heading7Char">
    <w:name w:val="Heading 7 Char"/>
    <w:link w:val="Heading7"/>
    <w:rsid w:val="005153A9"/>
    <w:rPr>
      <w:rFonts w:eastAsia="Times New Roman"/>
      <w:sz w:val="24"/>
      <w:lang w:val="de-DE" w:eastAsia="de-DE"/>
    </w:rPr>
  </w:style>
  <w:style w:type="character" w:customStyle="1" w:styleId="Heading8Char">
    <w:name w:val="Heading 8 Char"/>
    <w:link w:val="Heading8"/>
    <w:rsid w:val="005153A9"/>
    <w:rPr>
      <w:rFonts w:eastAsia="Times New Roman"/>
      <w:i/>
      <w:sz w:val="24"/>
      <w:lang w:val="de-DE" w:eastAsia="de-DE"/>
    </w:rPr>
  </w:style>
  <w:style w:type="character" w:customStyle="1" w:styleId="Heading9Char">
    <w:name w:val="Heading 9 Char"/>
    <w:link w:val="Heading9"/>
    <w:rsid w:val="005153A9"/>
    <w:rPr>
      <w:rFonts w:ascii="Cambria" w:eastAsia="Times New Roman" w:hAnsi="Cambri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7B7B-1E53-424D-8987-C36A7E3F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NGEE ANN POLYTECHNIC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Sylvester LUO (CAAS)</cp:lastModifiedBy>
  <cp:revision>3</cp:revision>
  <cp:lastPrinted>2014-11-17T01:47:00Z</cp:lastPrinted>
  <dcterms:created xsi:type="dcterms:W3CDTF">2015-01-28T06:08:00Z</dcterms:created>
  <dcterms:modified xsi:type="dcterms:W3CDTF">2018-06-07T07:51:00Z</dcterms:modified>
</cp:coreProperties>
</file>